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FD" w:rsidRDefault="006D19FD" w:rsidP="006D19FD">
      <w:pPr>
        <w:jc w:val="center"/>
        <w:rPr>
          <w:sz w:val="22"/>
        </w:rPr>
      </w:pPr>
      <w:r>
        <w:rPr>
          <w:rFonts w:ascii="Arial" w:eastAsia="新細明體" w:hAnsi="Arial" w:cs="Arial"/>
          <w:b/>
          <w:bCs/>
          <w:kern w:val="0"/>
          <w:sz w:val="28"/>
          <w:szCs w:val="31"/>
        </w:rPr>
        <w:t>AUO Corporation</w:t>
      </w:r>
    </w:p>
    <w:tbl>
      <w:tblPr>
        <w:tblW w:w="5000" w:type="pct"/>
        <w:tblCellMar>
          <w:left w:w="28" w:type="dxa"/>
          <w:right w:w="28" w:type="dxa"/>
        </w:tblCellMar>
        <w:tblLook w:val="04A0" w:firstRow="1" w:lastRow="0" w:firstColumn="1" w:lastColumn="0" w:noHBand="0" w:noVBand="1"/>
      </w:tblPr>
      <w:tblGrid>
        <w:gridCol w:w="8306"/>
      </w:tblGrid>
      <w:tr w:rsidR="006D19FD" w:rsidTr="006D19FD">
        <w:trPr>
          <w:trHeight w:val="390"/>
        </w:trPr>
        <w:tc>
          <w:tcPr>
            <w:tcW w:w="5000" w:type="pct"/>
            <w:vAlign w:val="center"/>
            <w:hideMark/>
          </w:tcPr>
          <w:p w:rsidR="006D19FD" w:rsidRDefault="006D19FD">
            <w:pPr>
              <w:widowControl/>
              <w:jc w:val="center"/>
              <w:rPr>
                <w:rFonts w:ascii="Arial" w:eastAsia="新細明體" w:hAnsi="Arial" w:cs="Arial"/>
                <w:b/>
                <w:bCs/>
                <w:kern w:val="0"/>
                <w:sz w:val="28"/>
                <w:szCs w:val="31"/>
              </w:rPr>
            </w:pPr>
            <w:r>
              <w:rPr>
                <w:rFonts w:ascii="Arial" w:eastAsia="新細明體" w:hAnsi="Arial" w:cs="Arial"/>
                <w:b/>
                <w:bCs/>
                <w:kern w:val="0"/>
                <w:sz w:val="28"/>
                <w:szCs w:val="31"/>
              </w:rPr>
              <w:t>Policy on Cross-Shareholdings</w:t>
            </w:r>
          </w:p>
        </w:tc>
      </w:tr>
      <w:tr w:rsidR="006D19FD" w:rsidTr="006D19FD">
        <w:trPr>
          <w:trHeight w:val="390"/>
        </w:trPr>
        <w:tc>
          <w:tcPr>
            <w:tcW w:w="5000" w:type="pct"/>
            <w:vAlign w:val="center"/>
            <w:hideMark/>
          </w:tcPr>
          <w:p w:rsidR="006D19FD" w:rsidRDefault="006D19FD">
            <w:pPr>
              <w:rPr>
                <w:rFonts w:ascii="Arial" w:eastAsia="新細明體" w:hAnsi="Arial" w:cs="Arial"/>
                <w:b/>
                <w:bCs/>
                <w:kern w:val="0"/>
                <w:sz w:val="28"/>
                <w:szCs w:val="31"/>
              </w:rPr>
            </w:pPr>
          </w:p>
        </w:tc>
      </w:tr>
      <w:tr w:rsidR="006D19FD" w:rsidTr="006D19FD">
        <w:trPr>
          <w:trHeight w:val="350"/>
        </w:trPr>
        <w:tc>
          <w:tcPr>
            <w:tcW w:w="5000" w:type="pct"/>
            <w:vAlign w:val="center"/>
            <w:hideMark/>
          </w:tcPr>
          <w:p w:rsidR="006D19FD" w:rsidRDefault="006D19FD">
            <w:pPr>
              <w:widowControl/>
              <w:rPr>
                <w:rFonts w:ascii="Calibri" w:eastAsia="Times New Roman" w:hAnsi="Calibri"/>
                <w:kern w:val="0"/>
                <w:sz w:val="20"/>
                <w:szCs w:val="20"/>
              </w:rPr>
            </w:pPr>
          </w:p>
        </w:tc>
      </w:tr>
      <w:tr w:rsidR="006D19FD" w:rsidTr="006D19FD">
        <w:trPr>
          <w:trHeight w:val="620"/>
        </w:trPr>
        <w:tc>
          <w:tcPr>
            <w:tcW w:w="5000" w:type="pct"/>
            <w:vAlign w:val="center"/>
            <w:hideMark/>
          </w:tcPr>
          <w:p w:rsidR="006D19FD" w:rsidRDefault="006D19FD" w:rsidP="007D44B2">
            <w:pPr>
              <w:pStyle w:val="a3"/>
              <w:widowControl/>
              <w:numPr>
                <w:ilvl w:val="0"/>
                <w:numId w:val="1"/>
              </w:numPr>
              <w:ind w:leftChars="0"/>
              <w:jc w:val="both"/>
              <w:rPr>
                <w:rFonts w:ascii="Arial" w:eastAsia="新細明體" w:hAnsi="Arial" w:cs="Arial"/>
                <w:kern w:val="0"/>
                <w:sz w:val="21"/>
                <w:szCs w:val="21"/>
              </w:rPr>
            </w:pPr>
            <w:r>
              <w:rPr>
                <w:rFonts w:ascii="Arial" w:eastAsia="新細明體" w:hAnsi="Arial" w:cs="Arial"/>
                <w:kern w:val="0"/>
                <w:sz w:val="21"/>
                <w:szCs w:val="21"/>
              </w:rPr>
              <w:t>For the purpose of continuously enhancing corporate value and strengthening relationships with business partners, the Company may hold shares only when it deems it necessary for business operations.</w:t>
            </w:r>
          </w:p>
        </w:tc>
      </w:tr>
      <w:tr w:rsidR="006D19FD" w:rsidTr="006D19FD">
        <w:trPr>
          <w:trHeight w:val="960"/>
        </w:trPr>
        <w:tc>
          <w:tcPr>
            <w:tcW w:w="5000" w:type="pct"/>
            <w:vAlign w:val="center"/>
            <w:hideMark/>
          </w:tcPr>
          <w:p w:rsidR="006D19FD" w:rsidRDefault="006D19FD" w:rsidP="007D44B2">
            <w:pPr>
              <w:pStyle w:val="a3"/>
              <w:widowControl/>
              <w:numPr>
                <w:ilvl w:val="0"/>
                <w:numId w:val="1"/>
              </w:numPr>
              <w:ind w:leftChars="0"/>
              <w:jc w:val="both"/>
              <w:rPr>
                <w:rFonts w:ascii="Arial" w:eastAsia="新細明體" w:hAnsi="Arial" w:cs="Arial"/>
                <w:kern w:val="0"/>
                <w:sz w:val="21"/>
                <w:szCs w:val="21"/>
              </w:rPr>
            </w:pPr>
            <w:r>
              <w:rPr>
                <w:rFonts w:ascii="Arial" w:eastAsia="新細明體" w:hAnsi="Arial" w:cs="Arial"/>
                <w:kern w:val="0"/>
                <w:sz w:val="21"/>
                <w:szCs w:val="21"/>
              </w:rPr>
              <w:t>With respect to cross-shareholdings, the Company comprehensively examines the significance of holding them from the viewpoints of business efficiency, profitability, and holding risk, and the Board of Directors makes a decision on the appropriateness of holding them every year.</w:t>
            </w:r>
          </w:p>
        </w:tc>
      </w:tr>
      <w:tr w:rsidR="006D19FD" w:rsidTr="006D19FD">
        <w:trPr>
          <w:trHeight w:val="640"/>
        </w:trPr>
        <w:tc>
          <w:tcPr>
            <w:tcW w:w="5000" w:type="pct"/>
            <w:vAlign w:val="center"/>
            <w:hideMark/>
          </w:tcPr>
          <w:p w:rsidR="006D19FD" w:rsidRDefault="006D19FD" w:rsidP="007D44B2">
            <w:pPr>
              <w:pStyle w:val="a3"/>
              <w:widowControl/>
              <w:numPr>
                <w:ilvl w:val="0"/>
                <w:numId w:val="1"/>
              </w:numPr>
              <w:ind w:leftChars="0"/>
              <w:jc w:val="both"/>
              <w:rPr>
                <w:rFonts w:ascii="Arial" w:eastAsia="新細明體" w:hAnsi="Arial" w:cs="Arial"/>
                <w:kern w:val="0"/>
                <w:sz w:val="21"/>
                <w:szCs w:val="21"/>
              </w:rPr>
            </w:pPr>
            <w:r>
              <w:rPr>
                <w:rFonts w:ascii="Arial" w:eastAsia="新細明體" w:hAnsi="Arial" w:cs="Arial"/>
                <w:kern w:val="0"/>
                <w:sz w:val="21"/>
                <w:szCs w:val="21"/>
              </w:rPr>
              <w:t>Shares where there is little significance or justification for ownership will be disposed while taking into account the proper stock price, impact on business, etc.</w:t>
            </w:r>
          </w:p>
        </w:tc>
      </w:tr>
      <w:tr w:rsidR="006D19FD" w:rsidTr="006D19FD">
        <w:trPr>
          <w:trHeight w:val="810"/>
        </w:trPr>
        <w:tc>
          <w:tcPr>
            <w:tcW w:w="5000" w:type="pct"/>
            <w:vAlign w:val="center"/>
            <w:hideMark/>
          </w:tcPr>
          <w:p w:rsidR="006D19FD" w:rsidRDefault="006D19FD" w:rsidP="007D44B2">
            <w:pPr>
              <w:pStyle w:val="a3"/>
              <w:widowControl/>
              <w:numPr>
                <w:ilvl w:val="0"/>
                <w:numId w:val="1"/>
              </w:numPr>
              <w:ind w:leftChars="0"/>
              <w:jc w:val="both"/>
              <w:rPr>
                <w:rFonts w:ascii="Arial" w:eastAsia="新細明體" w:hAnsi="Arial" w:cs="Arial"/>
                <w:kern w:val="0"/>
                <w:sz w:val="21"/>
                <w:szCs w:val="21"/>
              </w:rPr>
            </w:pPr>
            <w:r>
              <w:rPr>
                <w:rFonts w:ascii="Arial" w:eastAsia="新細明體" w:hAnsi="Arial" w:cs="Arial"/>
                <w:kern w:val="0"/>
                <w:sz w:val="21"/>
                <w:szCs w:val="21"/>
              </w:rPr>
              <w:t>In light of our company’s purpose of holding the shares, the division in charge exercises the voting rights after confirming whether the proposal of the issuing company contributes to the enhancement of the Company’s corporate value. The Company may communicate with the issuing company if necessary.</w:t>
            </w:r>
          </w:p>
        </w:tc>
      </w:tr>
    </w:tbl>
    <w:p w:rsidR="00FB40A2" w:rsidRPr="006D19FD" w:rsidRDefault="006D19FD">
      <w:bookmarkStart w:id="0" w:name="_GoBack"/>
      <w:bookmarkEnd w:id="0"/>
    </w:p>
    <w:sectPr w:rsidR="00FB40A2" w:rsidRPr="006D19F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575816"/>
    <w:multiLevelType w:val="hybridMultilevel"/>
    <w:tmpl w:val="1C22833E"/>
    <w:lvl w:ilvl="0" w:tplc="9A6457F0">
      <w:start w:val="1"/>
      <w:numFmt w:val="upp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A4"/>
    <w:rsid w:val="002446A4"/>
    <w:rsid w:val="006D19FD"/>
    <w:rsid w:val="00940F32"/>
    <w:rsid w:val="009F2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97B15-A7A1-4704-A2EC-BAEE6342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6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6A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977802">
      <w:bodyDiv w:val="1"/>
      <w:marLeft w:val="0"/>
      <w:marRight w:val="0"/>
      <w:marTop w:val="0"/>
      <w:marBottom w:val="0"/>
      <w:divBdr>
        <w:top w:val="none" w:sz="0" w:space="0" w:color="auto"/>
        <w:left w:val="none" w:sz="0" w:space="0" w:color="auto"/>
        <w:bottom w:val="none" w:sz="0" w:space="0" w:color="auto"/>
        <w:right w:val="none" w:sz="0" w:space="0" w:color="auto"/>
      </w:divBdr>
    </w:div>
    <w:div w:id="192106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Tai 戴麗玲</dc:creator>
  <cp:keywords/>
  <dc:description/>
  <cp:lastModifiedBy>Emily Tai 戴麗玲</cp:lastModifiedBy>
  <cp:revision>2</cp:revision>
  <dcterms:created xsi:type="dcterms:W3CDTF">2023-07-11T07:56:00Z</dcterms:created>
  <dcterms:modified xsi:type="dcterms:W3CDTF">2023-07-11T07:56:00Z</dcterms:modified>
</cp:coreProperties>
</file>